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49pt;width:300pt;height:7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3240" w:right="880" w:hanging="2349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48"/>
          <w:szCs w:val="48"/>
        </w:rPr>
        <w:t>Приказ Минэкономразвития России от 22.06.2015 N 385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47"/>
          <w:szCs w:val="47"/>
        </w:rPr>
        <w:t>"Об утверждении Федерального стандарта оценки "Оценка нематериальных активов и интеллектуальной собственности (ФСО N 11)"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КонсультантПлюс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www.consultant.ru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Дата сохранения: 06.03.2017</w:t>
      </w:r>
    </w:p>
    <w:p w:rsidR="00000000" w:rsidRDefault="00DD7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20" w:bottom="1440" w:left="820" w:header="720" w:footer="720" w:gutter="0"/>
          <w:cols w:space="720" w:equalWidth="0">
            <w:col w:w="10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Приказ Минэкономразвития России от 22.06.2015 N 385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 "Оценка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нематериальных...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ПРИКАЗ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от 22 июня 2015 г. N 385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2400" w:right="2400" w:firstLine="9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ОБ УТВЕРЖДЕНИИ ФЕДЕРАЛЬНОГО СТАНДАРТА ОЦЕНКИ "ОЦЕНКА НЕМАТЕРИАЛЬНЫХ АКТИВОВ И ИНТЕЛЛЕКТУАЛЬНОЙ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СОБСТВЕННОСТИ (ФСО N 11)"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r>
        <w:rPr>
          <w:rFonts w:ascii="Arial" w:hAnsi="Arial" w:cs="Arial"/>
          <w:color w:val="0000FF"/>
          <w:sz w:val="20"/>
          <w:szCs w:val="20"/>
        </w:rPr>
        <w:t>статьей 20</w:t>
      </w:r>
      <w:r>
        <w:rPr>
          <w:rFonts w:ascii="Arial" w:hAnsi="Arial" w:cs="Arial"/>
          <w:sz w:val="20"/>
          <w:szCs w:val="20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43, N 29, ст. 4291; 2014, </w:t>
      </w:r>
      <w:r>
        <w:rPr>
          <w:rFonts w:ascii="Arial" w:hAnsi="Arial" w:cs="Arial"/>
          <w:sz w:val="20"/>
          <w:szCs w:val="20"/>
        </w:rPr>
        <w:t>N 30, ст. 4226) приказываю: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Федеральный </w:t>
      </w:r>
      <w:r>
        <w:rPr>
          <w:rFonts w:ascii="Arial" w:hAnsi="Arial" w:cs="Arial"/>
          <w:color w:val="0000FF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</w:rPr>
        <w:t xml:space="preserve"> оценки "Оценка нематериальных активов и интеллектуальной собственности (ФСО N 11)".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05"/>
        </w:tabs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приказ вступает в силу со дня вступления в силу приказов Минэкономразвития России от 20 мая 2015 г. </w:t>
      </w:r>
      <w:r>
        <w:rPr>
          <w:rFonts w:ascii="Arial" w:hAnsi="Arial" w:cs="Arial"/>
          <w:color w:val="0000FF"/>
          <w:sz w:val="20"/>
          <w:szCs w:val="20"/>
        </w:rPr>
        <w:t>N 297</w:t>
      </w:r>
      <w:r>
        <w:rPr>
          <w:rFonts w:ascii="Arial" w:hAnsi="Arial" w:cs="Arial"/>
          <w:sz w:val="20"/>
          <w:szCs w:val="20"/>
        </w:rPr>
        <w:t xml:space="preserve"> "Об утверждении Федерального стандарта оценки "Общие понятия оценки, подходы и требования к проведению оценки (ФСО N 1)", от 20 мая 2015 г. </w:t>
      </w:r>
      <w:r>
        <w:rPr>
          <w:rFonts w:ascii="Arial" w:hAnsi="Arial" w:cs="Arial"/>
          <w:color w:val="0000FF"/>
          <w:sz w:val="20"/>
          <w:szCs w:val="20"/>
        </w:rPr>
        <w:t>N 298</w:t>
      </w:r>
      <w:r>
        <w:rPr>
          <w:rFonts w:ascii="Arial" w:hAnsi="Arial" w:cs="Arial"/>
          <w:sz w:val="20"/>
          <w:szCs w:val="20"/>
        </w:rPr>
        <w:t xml:space="preserve"> "Об утверждении Федерального стандарта оценки "Цель оценки и виды стоимости (ФСО N 2)", от 20 мая 2015 г. </w:t>
      </w:r>
      <w:r>
        <w:rPr>
          <w:rFonts w:ascii="Arial" w:hAnsi="Arial" w:cs="Arial"/>
          <w:color w:val="0000FF"/>
          <w:sz w:val="20"/>
          <w:szCs w:val="20"/>
        </w:rPr>
        <w:t>N 299</w:t>
      </w:r>
      <w:r>
        <w:rPr>
          <w:rFonts w:ascii="Arial" w:hAnsi="Arial" w:cs="Arial"/>
          <w:sz w:val="20"/>
          <w:szCs w:val="20"/>
        </w:rPr>
        <w:t xml:space="preserve"> "Об утверждении Федерального стандарта оценки "Требования к отчету об оценке (ФСО N 3)".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А.В.УЛЮКАЕВ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7140"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Утвержден приказом Минэкономразвития России от 22 июня 2015 г. N 385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2400" w:right="2400" w:firstLine="18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ФЕДЕРАЛЬНЫЙ СТАНДАРТ ОЦЕНКИ "ОЦЕНКА НЕМАТЕРИАЛЬНЫХ АКТИВОВ И ИНТЕЛЛЕКТУАЛЬНОЙ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СОБСТВЕННОСТИ (ФСО N 11)"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4580"/>
        </w:tabs>
        <w:overflowPunct w:val="0"/>
        <w:autoSpaceDE w:val="0"/>
        <w:autoSpaceDN w:val="0"/>
        <w:adjustRightInd w:val="0"/>
        <w:spacing w:after="0" w:line="240" w:lineRule="auto"/>
        <w:ind w:left="4580" w:hanging="1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положения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стандарт оценки разработан с учет</w:t>
      </w:r>
      <w:r>
        <w:rPr>
          <w:rFonts w:ascii="Arial" w:hAnsi="Arial" w:cs="Arial"/>
          <w:sz w:val="20"/>
          <w:szCs w:val="20"/>
        </w:rPr>
        <w:t xml:space="preserve">ом международных стандартов оценки и федеральных стандартов оценки "Общие понятия оценки, подходы и требования к проведению оценки </w:t>
      </w:r>
      <w:r>
        <w:rPr>
          <w:rFonts w:ascii="Arial" w:hAnsi="Arial" w:cs="Arial"/>
          <w:color w:val="0000FF"/>
          <w:sz w:val="20"/>
          <w:szCs w:val="20"/>
        </w:rPr>
        <w:t>(ФСО 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D714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0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", "Цель оценки и виды стоимости </w:t>
      </w:r>
      <w:r>
        <w:rPr>
          <w:rFonts w:ascii="Arial" w:hAnsi="Arial" w:cs="Arial"/>
          <w:color w:val="0000FF"/>
          <w:sz w:val="20"/>
          <w:szCs w:val="20"/>
        </w:rPr>
        <w:t>(ФСО N 2)</w:t>
      </w:r>
      <w:r>
        <w:rPr>
          <w:rFonts w:ascii="Arial" w:hAnsi="Arial" w:cs="Arial"/>
          <w:sz w:val="20"/>
          <w:szCs w:val="20"/>
        </w:rPr>
        <w:t xml:space="preserve">", "Требования к отчету об оценке </w:t>
      </w:r>
      <w:r>
        <w:rPr>
          <w:rFonts w:ascii="Arial" w:hAnsi="Arial" w:cs="Arial"/>
          <w:color w:val="0000FF"/>
          <w:sz w:val="20"/>
          <w:szCs w:val="20"/>
        </w:rPr>
        <w:t>(ФСО N 3)</w:t>
      </w:r>
      <w:r>
        <w:rPr>
          <w:rFonts w:ascii="Arial" w:hAnsi="Arial" w:cs="Arial"/>
          <w:sz w:val="20"/>
          <w:szCs w:val="20"/>
        </w:rPr>
        <w:t>" (далее соответственно - ФСО N 1, ФСО N 2, ФСО N 3), иных федеральных стандартов оценки, регулирующих оценку отдельных видов объектов оценки, утвержденных Минэкономразвития России, и определяет требования к проведению оценки нематериальных активов и интел</w:t>
      </w:r>
      <w:r>
        <w:rPr>
          <w:rFonts w:ascii="Arial" w:hAnsi="Arial" w:cs="Arial"/>
          <w:sz w:val="20"/>
          <w:szCs w:val="20"/>
        </w:rPr>
        <w:t xml:space="preserve">лектуальной собственности.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FF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03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настоящего Федерального стандарта оценки распространяются на проведение оценки как отдельных нематериальных активов, так и совокупности нематериальных активов.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29" w:lineRule="auto"/>
        <w:ind w:left="80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проведении оценки стоимости нематериальных </w:t>
      </w:r>
      <w:r>
        <w:rPr>
          <w:rFonts w:ascii="Arial" w:hAnsi="Arial" w:cs="Arial"/>
          <w:sz w:val="20"/>
          <w:szCs w:val="20"/>
        </w:rPr>
        <w:t xml:space="preserve">активов и интеллектуальной собственности для 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случаев бухгалтерского учета, статистического учета, финансовой отчетности, проверки полноты исчисления и 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уплаты налогов оценщик должен также соблюдать требования соответствующих нормативных правовых актов.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3"/>
          <w:numId w:val="4"/>
        </w:numPr>
        <w:tabs>
          <w:tab w:val="clear" w:pos="2880"/>
          <w:tab w:val="num" w:pos="4700"/>
        </w:tabs>
        <w:overflowPunct w:val="0"/>
        <w:autoSpaceDE w:val="0"/>
        <w:autoSpaceDN w:val="0"/>
        <w:adjustRightInd w:val="0"/>
        <w:spacing w:after="0" w:line="240" w:lineRule="auto"/>
        <w:ind w:left="4700" w:hanging="2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оценки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6"/>
        </w:tabs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стандарта оценки объектами оценки могут выступать нематериальные активы - активы, которые не имеют материально-вещественной формы, проявляют себя своими экономическими свойствами, дают выгоды их</w:t>
      </w:r>
      <w:r>
        <w:rPr>
          <w:rFonts w:ascii="Arial" w:hAnsi="Arial" w:cs="Arial"/>
          <w:sz w:val="20"/>
          <w:szCs w:val="20"/>
        </w:rPr>
        <w:t xml:space="preserve"> собственнику (правообладателю) и генерируют для него доходы (выгоды), в том числе: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исключительные права на интеллектуальную собственность, а также иные права (право следования, право доступа и другие), относящиеся к интеллектуальной деятельности в п</w:t>
      </w:r>
      <w:r>
        <w:rPr>
          <w:rFonts w:ascii="Arial" w:hAnsi="Arial" w:cs="Arial"/>
          <w:sz w:val="20"/>
          <w:szCs w:val="20"/>
        </w:rPr>
        <w:t xml:space="preserve">роизводственной, научной, литературной и художественной областях;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права, составляющие содержание договорных обязательств (договоров, соглашений); 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деловая репутация.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.2pt,11.5pt" to="535.5pt,11.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1 из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Приказ Минэкономразвития России от 22.06.2015 N 385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 "Оценка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нематериальных...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</w:t>
            </w:r>
            <w:r>
              <w:rPr>
                <w:rFonts w:ascii="Tahoma" w:hAnsi="Tahoma" w:cs="Tahoma"/>
                <w:sz w:val="16"/>
                <w:szCs w:val="16"/>
              </w:rPr>
              <w:t>хранения: 06.03.2017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3580"/>
        </w:tabs>
        <w:overflowPunct w:val="0"/>
        <w:autoSpaceDE w:val="0"/>
        <w:autoSpaceDN w:val="0"/>
        <w:adjustRightInd w:val="0"/>
        <w:spacing w:after="0" w:line="240" w:lineRule="auto"/>
        <w:ind w:left="3580" w:hanging="2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требования к проведению оценки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проведения оценки стоимости объекта оценки оценщик осуществляет: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анализ рынка объекта оценки и рынка товаров, работ, услуг, производимых и реализуемых с его использованием, а также других внешних факторов, влияющих на его стоимость;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анализ состояния экономического положения в стране, отрасли </w:t>
      </w:r>
      <w:r>
        <w:rPr>
          <w:rFonts w:ascii="Arial" w:hAnsi="Arial" w:cs="Arial"/>
          <w:sz w:val="20"/>
          <w:szCs w:val="20"/>
        </w:rPr>
        <w:t>и регионе, а также иных факторов, влияющих на рынок объекта оценки и рынка продукции (товаров, работ, услуг), производимой и реализуемой с использованием объекта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идентификацию объекта оценки, включая права, привилегии, иные экономические выгоды, с</w:t>
      </w:r>
      <w:r>
        <w:rPr>
          <w:rFonts w:ascii="Arial" w:hAnsi="Arial" w:cs="Arial"/>
          <w:sz w:val="20"/>
          <w:szCs w:val="20"/>
        </w:rPr>
        <w:t>вязанные с объектом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анализ текущего использования, прогнозных показателей производства и реализации продукции (товаров, работ, услуг) с использованием объекта оценки.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Оценщик также при наличии информации осуществляет идентификацию других (не </w:t>
      </w:r>
      <w:r>
        <w:rPr>
          <w:rFonts w:ascii="Arial" w:hAnsi="Arial" w:cs="Arial"/>
          <w:sz w:val="20"/>
          <w:szCs w:val="20"/>
        </w:rPr>
        <w:t xml:space="preserve">включенных в объект оценки) нематериальных активов, если они входят в состав технологической основы производства и реализации продукции с использованием объекта оценки.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Оценщик собирает информацию из различных источников в объеме, достаточном для иде</w:t>
      </w:r>
      <w:r>
        <w:rPr>
          <w:rFonts w:ascii="Arial" w:hAnsi="Arial" w:cs="Arial"/>
          <w:sz w:val="20"/>
          <w:szCs w:val="20"/>
        </w:rPr>
        <w:t xml:space="preserve">нтификации объекта оценки. В состав факторов, рассматриваемых в процессе сбора и анализа информации, могут входить: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1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права, привилегии или иные экономические выгоды, связанные с объектом оценки; срок действия исключительного права на интеллектуальную собственность; способность объекта оценки приносить экономические выгоды и источники этих выгод; состояние и перспективы о</w:t>
      </w:r>
      <w:r>
        <w:rPr>
          <w:rFonts w:ascii="Arial" w:hAnsi="Arial" w:cs="Arial"/>
          <w:sz w:val="20"/>
          <w:szCs w:val="20"/>
        </w:rPr>
        <w:t xml:space="preserve">трасли, где создан и (или) используется объект оценки;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лицензионные договоры или договоры об отчуждении исключительного права на интеллектуальную собственность (при их наличии);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другие факторы, имеющие непосредственное отношение к объекту оценки.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V. Задание на оценку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8. Задание на оценку объекта оценки должно содержать следующую дополнительную к указанной в </w:t>
      </w:r>
      <w:r>
        <w:rPr>
          <w:rFonts w:ascii="Arial" w:hAnsi="Arial" w:cs="Arial"/>
          <w:color w:val="0000FF"/>
          <w:sz w:val="20"/>
          <w:szCs w:val="20"/>
        </w:rPr>
        <w:t>ФСО 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информацию:</w:t>
      </w:r>
    </w:p>
    <w:p w:rsidR="00000000" w:rsidRDefault="00DD7141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режиме предоставленной правовой охраны интеллектуальной собственности, в</w:t>
      </w:r>
      <w:r>
        <w:rPr>
          <w:rFonts w:ascii="Arial" w:hAnsi="Arial" w:cs="Arial"/>
          <w:sz w:val="20"/>
          <w:szCs w:val="20"/>
        </w:rPr>
        <w:t xml:space="preserve">ключая объем, сроки, территории правовой охраны, наличие ограничений (обременений) в отношении исключительных прав на интеллектуальную собственность;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объеме прав на интеллектуальную собственность, подлежащих оценке; </w:t>
      </w:r>
    </w:p>
    <w:p w:rsidR="00000000" w:rsidRDefault="00DD7141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совокупности объектов (или еди</w:t>
      </w:r>
      <w:r>
        <w:rPr>
          <w:rFonts w:ascii="Arial" w:hAnsi="Arial" w:cs="Arial"/>
          <w:sz w:val="20"/>
          <w:szCs w:val="20"/>
        </w:rPr>
        <w:t xml:space="preserve">ной технологии, или сопутствующих активах), в состав которой входит объект оценки.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задании на оценку могут быть указаны иные сведения, позволяющие однозначно идентифицировать и раскрыть характеристики объекта оценки и провести оценку его стоимости.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 w:right="2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задании на оценку могут быть указаны иные расчетные величины, в том числе: расчетная величина лицензионного вознаграждения (далее - роялти); убытки; расчетная величина авторского вознаграждения.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4840"/>
        </w:tabs>
        <w:overflowPunct w:val="0"/>
        <w:autoSpaceDE w:val="0"/>
        <w:autoSpaceDN w:val="0"/>
        <w:adjustRightInd w:val="0"/>
        <w:spacing w:after="0" w:line="240" w:lineRule="auto"/>
        <w:ind w:left="4840" w:hanging="2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рынка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10. Для определения стоимости объекта оценки оценщик исследует рынок в тех его сегментах, к которым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относятся создание и использование оцениваемого объекта.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Анализ рынка объекта оценки выполняется в следующей последовательности: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анализ влияния макроэко</w:t>
      </w:r>
      <w:r>
        <w:rPr>
          <w:rFonts w:ascii="Arial" w:hAnsi="Arial" w:cs="Arial"/>
          <w:sz w:val="20"/>
          <w:szCs w:val="20"/>
        </w:rPr>
        <w:t>номических факторов, в том числе тенденций, наметившихся на рынке, в период, предшествующий дате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определение и анализ сегмента рынка, к которому принадлежит оцениваемый объект: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анализ создания и предоставления правовой охраны аналогичным объект</w:t>
      </w:r>
      <w:r>
        <w:rPr>
          <w:rFonts w:ascii="Arial" w:hAnsi="Arial" w:cs="Arial"/>
          <w:sz w:val="20"/>
          <w:szCs w:val="20"/>
        </w:rPr>
        <w:t>ам интеллектуальной собственности;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анализ текущего состояния, перспектив и тенденций развития отрасли, к которой относится объект оценки; анализ сделок (лицензионных договоров и договоров об отчуждении исключительного права) с объектом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оценки либо объектом-аналогом (при наличии); анализ сделок, связанных с объединением бизнеса, имеющего идентичные или аналогичные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580" w:right="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нематериальные активы (при наличии); в) анализ основных факторов, влияющих на спрос, предложение и цены сопоставимых с объект</w:t>
      </w:r>
      <w:r>
        <w:rPr>
          <w:rFonts w:ascii="Arial" w:hAnsi="Arial" w:cs="Arial"/>
          <w:sz w:val="20"/>
          <w:szCs w:val="20"/>
        </w:rPr>
        <w:t>ом оценки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-.2pt,10.5pt" to="535.5pt,10.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2 из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ahoma" w:hAnsi="Tahoma" w:cs="Tahoma"/>
                <w:sz w:val="20"/>
                <w:szCs w:val="20"/>
              </w:rPr>
              <w:t>Приказ Минэкономразвития России от 22.06.2015 N 385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 "Оценка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нематериальных...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.2pt,19.45pt" to="535.5pt,19.4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объектов. В числе основных факторов, подлежащих анализу, могут быть рассмотрены: тенденция изменения количества объектов, сопоставимых с объектом оценки; тенденция изменения лицензионных договоров; ставки роялти; тенденция импорта и экспорта технологий, ан</w:t>
      </w:r>
      <w:r>
        <w:rPr>
          <w:rFonts w:ascii="Arial" w:hAnsi="Arial" w:cs="Arial"/>
          <w:sz w:val="20"/>
          <w:szCs w:val="20"/>
        </w:rPr>
        <w:t>алогичных объекту оценки; иные факторы, влияющие на конкуренцию и ценообразование на рынке технологий или объектов авторского и (или) смежного права, или средств индивидуализации и других объектов интеллектуальной собственности и нематериальных активов;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) основные выводы относительно рынка создания и использования объекта оценки, а также рынка продукции (товаров, работ, услуг), производимой и реализуемой с использованием объекта оценки, необходимые для оценки объекта, например, динамика рынка создания и и</w:t>
      </w:r>
      <w:r>
        <w:rPr>
          <w:rFonts w:ascii="Arial" w:hAnsi="Arial" w:cs="Arial"/>
          <w:sz w:val="20"/>
          <w:szCs w:val="20"/>
        </w:rPr>
        <w:t>спользования объекта оценки и другие выводы.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11. Объем исследований определяется оценщиком самостоятельно.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VI. Подходы к оценке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Доходный подход предусматривает дисконтирование денежных потоков (будущих экономических выгод), генерируемых объектом оценки, или капитализацию годового чистого дохода (выгоды, эффект) от объекта оценки, включая доходы от возможного возмездного предоставле</w:t>
      </w:r>
      <w:r>
        <w:rPr>
          <w:rFonts w:ascii="Arial" w:hAnsi="Arial" w:cs="Arial"/>
          <w:sz w:val="20"/>
          <w:szCs w:val="20"/>
        </w:rPr>
        <w:t xml:space="preserve">ния другим лицам доступа к экономическим выгодам от использования объекта оценки.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9" w:lineRule="auto"/>
        <w:ind w:left="9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применении доходного подхода оценщик учитывает следующие положения: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оценщик определяет будущие денежные потоки, формируемые из экономической выгоды, генерируе</w:t>
      </w:r>
      <w:r>
        <w:rPr>
          <w:rFonts w:ascii="Arial" w:hAnsi="Arial" w:cs="Arial"/>
          <w:sz w:val="20"/>
          <w:szCs w:val="20"/>
        </w:rPr>
        <w:t>мой объектом оценки. В общем случае выгода может образовываться из экономий на издержках, освобождения от роялти, преимуществ в прибыли, реальных лицензионных платежей, платежей по роялти, избыточного дохода или других выгод;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 период, в течение которого объект оценки способен приносить экономические выгоды, как правило, ограничивается сроком действия правовой охраны или сроком действия лицензионного договора. Продолжительность срока полезного использования объекта оценки може</w:t>
      </w:r>
      <w:r>
        <w:rPr>
          <w:rFonts w:ascii="Arial" w:hAnsi="Arial" w:cs="Arial"/>
          <w:sz w:val="20"/>
          <w:szCs w:val="20"/>
        </w:rPr>
        <w:t>т быть сокращена исходя из экономической нецелесообразности дальнейшего его использования;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ставка дисконтирования рассчитывается одним из следующих методов: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основе анализа рыночных показателей, отражающих доходность аналогичных объекту оценки объ</w:t>
      </w:r>
      <w:r>
        <w:rPr>
          <w:rFonts w:ascii="Arial" w:hAnsi="Arial" w:cs="Arial"/>
          <w:sz w:val="20"/>
          <w:szCs w:val="20"/>
        </w:rPr>
        <w:t xml:space="preserve">ектов;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9" w:lineRule="auto"/>
        <w:ind w:left="700" w:hanging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основе средневзвешенной стоимости капитала организации (бизнеса), использующей объект оценки; </w:t>
      </w:r>
    </w:p>
    <w:p w:rsidR="00000000" w:rsidRDefault="00DD714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кумулятивным способом, основанным на определении безрисковой ставки использования денежных средств, ожидаемого уровня инфляции и размера премиа</w:t>
      </w:r>
      <w:r>
        <w:rPr>
          <w:rFonts w:ascii="Arial" w:hAnsi="Arial" w:cs="Arial"/>
          <w:sz w:val="20"/>
          <w:szCs w:val="20"/>
        </w:rPr>
        <w:t xml:space="preserve">льной надбавки за риски, связанные с инвестицией в объект оценки;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ставка капитализации может использоваться при применении оценочных коэффициентов, таких как мультипликаторы "цена/прибыль", или при корректировке ставки дисконтирования с целью отражения любого будущего роста денежного потока от использования объекта оц</w:t>
      </w:r>
      <w:r>
        <w:rPr>
          <w:rFonts w:ascii="Arial" w:hAnsi="Arial" w:cs="Arial"/>
          <w:sz w:val="20"/>
          <w:szCs w:val="20"/>
        </w:rPr>
        <w:t xml:space="preserve">енки в постпрогнозном периоде;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преимущества, включая эффекты от амортизации оценива</w:t>
      </w:r>
      <w:r>
        <w:rPr>
          <w:rFonts w:ascii="Arial" w:hAnsi="Arial" w:cs="Arial"/>
          <w:sz w:val="20"/>
          <w:szCs w:val="20"/>
        </w:rPr>
        <w:t xml:space="preserve">емого нематериального актива, соответствующие нормам действующего законодательства, и ввести в денежные потоки соответствующие корректировки.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14. Стоимость бизнесобразующих нематериальных активов, которые создают прибыль в комплексе с другими активами б</w:t>
      </w:r>
      <w:r>
        <w:rPr>
          <w:rFonts w:ascii="Arial" w:hAnsi="Arial" w:cs="Arial"/>
          <w:sz w:val="19"/>
          <w:szCs w:val="19"/>
        </w:rPr>
        <w:t>изнеса (например, сложный объект, единая технология, лицензия на осуществление вида деятельности, проекты научно-исследовательских работ, опытно-конструкторских и технологических работ, лицензии на пользование недрами и другие аналогичные нематериальные ак</w:t>
      </w:r>
      <w:r>
        <w:rPr>
          <w:rFonts w:ascii="Arial" w:hAnsi="Arial" w:cs="Arial"/>
          <w:sz w:val="19"/>
          <w:szCs w:val="19"/>
        </w:rPr>
        <w:t xml:space="preserve">тивы) может оцениваться в составе всего бизнеса на основе избыточной прибыли. Для этого вначале формируется денежный поток от всего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бизнеса; устанавливаются экономические ренты (выгоды), приходящиеся на сопутствующие (материальные, 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финансовые, отдельн</w:t>
      </w:r>
      <w:r>
        <w:rPr>
          <w:rFonts w:ascii="Arial" w:hAnsi="Arial" w:cs="Arial"/>
          <w:sz w:val="20"/>
          <w:szCs w:val="20"/>
        </w:rPr>
        <w:t>о идентифицированные нематериальные) активы бизнеса, не входящие в объект оценки; из денежного потока от всего бизнеса вычитаются те доли денежных потоков, которые относятся к сопутствующим активам. Результат представляет собой избыточную прибыль, приписыв</w:t>
      </w:r>
      <w:r>
        <w:rPr>
          <w:rFonts w:ascii="Arial" w:hAnsi="Arial" w:cs="Arial"/>
          <w:sz w:val="20"/>
          <w:szCs w:val="20"/>
        </w:rPr>
        <w:t>аемую оцениваемому нематериальному активу. Стоимость нематериального актива определяется как приведенная стоимость остаточного денежного потока (избыточной прибыли). Денежный поток, создаваемый оцениваемым нематериальным активом, не может превышать денежно</w:t>
      </w:r>
      <w:r>
        <w:rPr>
          <w:rFonts w:ascii="Arial" w:hAnsi="Arial" w:cs="Arial"/>
          <w:sz w:val="20"/>
          <w:szCs w:val="20"/>
        </w:rPr>
        <w:t xml:space="preserve">го потока от всего бизнеса (использующего эти нематериальные активы) в целом.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2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При применении затратного подхода оценщик учитывает следующие положения: а) затратный подход к оценке объекта оценки целесообразно применять: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оценке стоимости объектов оценки, созданных самими правообладателями; при недостаточности данных, необходимых для применения сравнительного и доходного подходов;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стоимость объекта оценки определяется затратным подходом, когда существует возможнос</w:t>
      </w:r>
      <w:r>
        <w:rPr>
          <w:rFonts w:ascii="Arial" w:hAnsi="Arial" w:cs="Arial"/>
          <w:sz w:val="20"/>
          <w:szCs w:val="20"/>
        </w:rPr>
        <w:t xml:space="preserve">ть его воссоздания путем определения затрат на его воспроизводство или замещение;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.2pt,10.5pt" to="535.5pt,10.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3 из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ahoma" w:hAnsi="Tahoma" w:cs="Tahoma"/>
                <w:sz w:val="20"/>
                <w:szCs w:val="20"/>
              </w:rPr>
              <w:t>Приказ Минэкономразвития России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от 22.06.2015 N 385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 "Оценка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нематериальных...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.2pt,19.45pt" to="535.5pt,19.4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в) входные переменные, которые учитываются при применении затратного подхода к оценке нематериальных активов, включают: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затраты на разработку или приобретение идентичного объекта или объекта с аналогичными полезными свойствами;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любые корректировки затрат на разработку или приобретение, необходимые для отражения специфических характеристик объекта оценки, в том числе его функционального и экономического устареваний;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экономическая выгода разработчика объекта оценки; г) затраты на разработку объекта оценки могут включать расходы по оплате труда и иные виды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вознаграждения, оплату материалов, накладных расходов, а также юридические издержки по правовой охране, налоги, пр</w:t>
      </w:r>
      <w:r>
        <w:rPr>
          <w:rFonts w:ascii="Arial" w:hAnsi="Arial" w:cs="Arial"/>
          <w:sz w:val="20"/>
          <w:szCs w:val="20"/>
        </w:rPr>
        <w:t>едпринимательскую прибыль в период разработки объекта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в случае использования исторических (первоначальных) затрат на создание объекта оценки необходимо будет привести их к текущей дате с помощью наиболее подходящего индекса;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е) при определении</w:t>
      </w:r>
      <w:r>
        <w:rPr>
          <w:rFonts w:ascii="Arial" w:hAnsi="Arial" w:cs="Arial"/>
          <w:sz w:val="20"/>
          <w:szCs w:val="20"/>
        </w:rPr>
        <w:t xml:space="preserve"> затрат на воспроизводство объекта оценки оценщик определяет стоимость воссоздания новой точной копии объекта оценки. Затраты в этом случае определяются исходя из действующих на дату оценки цен на услуги с использованием знаний, опыта и навыков авторов-раз</w:t>
      </w:r>
      <w:r>
        <w:rPr>
          <w:rFonts w:ascii="Arial" w:hAnsi="Arial" w:cs="Arial"/>
          <w:sz w:val="20"/>
          <w:szCs w:val="20"/>
        </w:rPr>
        <w:t>работчиков (при наличии) объекта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ж) при определении затрат на создание объекта, имеющего аналогичные полезные свойства, оценщик определяет стоимость создания объекта оценки той же полезности, являющегося аналогом объекта оценки по функциональному </w:t>
      </w:r>
      <w:r>
        <w:rPr>
          <w:rFonts w:ascii="Arial" w:hAnsi="Arial" w:cs="Arial"/>
          <w:sz w:val="20"/>
          <w:szCs w:val="20"/>
        </w:rPr>
        <w:t>назначению и вариантам использования. В этом случае затраты должны быть определены на основе действующих на дату оценки цен на сырье, товары, услуги, энергоносители и стоимости рабочей силы в том регионе и (или) в той отрасли экономики, в которых создаются</w:t>
      </w:r>
      <w:r>
        <w:rPr>
          <w:rFonts w:ascii="Arial" w:hAnsi="Arial" w:cs="Arial"/>
          <w:sz w:val="20"/>
          <w:szCs w:val="20"/>
        </w:rPr>
        <w:t xml:space="preserve"> объекты, аналогичные объекту оценки.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16. При применении сравнительного подхода к оценке объектов оценки стоимость определяется оценщиком с использованием следующей информации: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 условиях сделок, а также о предложениях на продажу и покупку объектов-аналогов на рынке по состоянию на дату оценки или по состоянию на дату, предшествующую дате оценки, если по состоянию на дату оценки такая информация доступна;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 влиянии ценообразующи</w:t>
      </w:r>
      <w:r>
        <w:rPr>
          <w:rFonts w:ascii="Arial" w:hAnsi="Arial" w:cs="Arial"/>
          <w:sz w:val="20"/>
          <w:szCs w:val="20"/>
        </w:rPr>
        <w:t>х факторов объектов-аналогов на их рыночную стоимость.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Определение влияния ценообразующих факторов объектов-аналогов на их рыночную стоимость может проводиться с применением ценовых мультипликаторов - расчетных величин, отражающих соотношение между стоимос</w:t>
      </w:r>
      <w:r>
        <w:rPr>
          <w:rFonts w:ascii="Arial" w:hAnsi="Arial" w:cs="Arial"/>
          <w:sz w:val="20"/>
          <w:szCs w:val="20"/>
        </w:rPr>
        <w:t>тью объекта-аналога и его ценообразующим параметром при условии доказанной значимости последнего.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ряде случаев цены предложений объектов-аналогов могут быть обоснованно скорректированы.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Для сравнения объекта оценки с другими объектами, с которыми были с</w:t>
      </w:r>
      <w:r>
        <w:rPr>
          <w:rFonts w:ascii="Arial" w:hAnsi="Arial" w:cs="Arial"/>
          <w:sz w:val="20"/>
          <w:szCs w:val="20"/>
        </w:rPr>
        <w:t>овершены сделки или которые представлены на рынке для их совершения, обычно используются следующие элементы сравнения: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режим предоставленной правовой охраны, включая переданные права и сроки использования интеллектуальной собственности;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условия финансиро</w:t>
      </w:r>
      <w:r>
        <w:rPr>
          <w:rFonts w:ascii="Arial" w:hAnsi="Arial" w:cs="Arial"/>
          <w:sz w:val="20"/>
          <w:szCs w:val="20"/>
        </w:rPr>
        <w:t>вания сделок с нематериальными активами, включая соотношение собственных и заемных средств;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изменение цен на нематериальные активы за период с даты совершения сделки с объектом-аналогом до даты проведения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отрасль, в которой были или будут использ</w:t>
      </w:r>
      <w:r>
        <w:rPr>
          <w:rFonts w:ascii="Arial" w:hAnsi="Arial" w:cs="Arial"/>
          <w:sz w:val="20"/>
          <w:szCs w:val="20"/>
        </w:rPr>
        <w:t>ованы нематериальные активы; территория, на которую распространяется действие предоставляемых (оцениваемых) прав;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функциональные, технологические, экономические характеристики выбранных объектов-аналогов, аналогичные соответствующим характеристикам объект</w:t>
      </w:r>
      <w:r>
        <w:rPr>
          <w:rFonts w:ascii="Arial" w:hAnsi="Arial" w:cs="Arial"/>
          <w:sz w:val="20"/>
          <w:szCs w:val="20"/>
        </w:rPr>
        <w:t>а оценки;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спрос на продукцию, которая может производиться или реализовываться с использованием  объекта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3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оценки;</w:t>
      </w: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срок использования объекта оценки, в течение которого объект оценки способен приносить экономические выгоды;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другие характеристики нематериального актива, влияющие на стоимость.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VII. Особенности оценки деловой репутации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71"/>
        </w:tabs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оценки при определении стоимости положительной деловой репутации (гудвилл) определяется любая будущая экономическая выгода, гене</w:t>
      </w:r>
      <w:r>
        <w:rPr>
          <w:rFonts w:ascii="Arial" w:hAnsi="Arial" w:cs="Arial"/>
          <w:sz w:val="20"/>
          <w:szCs w:val="20"/>
        </w:rPr>
        <w:t xml:space="preserve">рируемая бизнесом или активами, которые неотделимы от данного бизнеса или групп активов, входящих в его состав. Примерами таких выгод может быть увеличение эффективности, возникающее в результате объединения бизнесов (снижение операционных затрат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экономии от масштаба, не отраженные в стоимости других активов), организационный капитал (например, выгоды, возникающие благодаря созданной сети или возможности выхода на новые рынки и тому подобное).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деловой репутации представляет собой с</w:t>
      </w:r>
      <w:r>
        <w:rPr>
          <w:rFonts w:ascii="Arial" w:hAnsi="Arial" w:cs="Arial"/>
          <w:sz w:val="20"/>
          <w:szCs w:val="20"/>
        </w:rPr>
        <w:t xml:space="preserve">умму, остающуюся после вычитания из стоимости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.2pt,11.5pt" to="535.5pt,11.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4 из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rFonts w:ascii="Tahoma" w:hAnsi="Tahoma" w:cs="Tahoma"/>
                <w:sz w:val="20"/>
                <w:szCs w:val="20"/>
              </w:rPr>
              <w:t>Приказ Минэкономразвития России от 22.06.2015 N 385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 "Оценка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нематериальных...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.2pt,19.45pt" to="535.5pt,19.4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(цены покупки) организации стоимости всех идентифицируемых материальных активов, в том числе денежных, и нематериальных активов, скорректированной с учетом фактических или потенциальных обязательств.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VIII. Согласование результатов оценки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</w:t>
      </w:r>
      <w:r>
        <w:rPr>
          <w:rFonts w:ascii="Arial" w:hAnsi="Arial" w:cs="Arial"/>
          <w:sz w:val="20"/>
          <w:szCs w:val="20"/>
        </w:rPr>
        <w:t xml:space="preserve">е результатов оценки объекта оценки, полученных с использованием различных методов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000000" w:rsidRDefault="00DD7141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подходов к оценке, осуществляется в соответствии с требованиями </w:t>
      </w:r>
      <w:r>
        <w:rPr>
          <w:rFonts w:ascii="Arial" w:hAnsi="Arial" w:cs="Arial"/>
          <w:color w:val="0000FF"/>
          <w:sz w:val="20"/>
          <w:szCs w:val="20"/>
        </w:rPr>
        <w:t>ФСО N 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2pt,16pt" to="534.25pt,16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A2666"/>
          <w:sz w:val="20"/>
          <w:szCs w:val="20"/>
        </w:rPr>
        <w:t>КонсультантПлюс: примечание.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A2666"/>
          <w:sz w:val="20"/>
          <w:szCs w:val="20"/>
        </w:rPr>
        <w:t>Нумерация разделов дана в соответствии с официальным текстом документа.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2pt,5pt" to="534.25pt,5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IV. Заключительные положения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20. В случае расхождений между требованиями настоящего Федерального стандарта оценки с требованиями </w:t>
      </w:r>
      <w:r>
        <w:rPr>
          <w:rFonts w:ascii="Arial" w:hAnsi="Arial" w:cs="Arial"/>
          <w:color w:val="0000FF"/>
          <w:sz w:val="20"/>
          <w:szCs w:val="20"/>
        </w:rPr>
        <w:t>ФСО N 1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ФСО N 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ФСО N 3</w:t>
      </w:r>
      <w:r>
        <w:rPr>
          <w:rFonts w:ascii="Arial" w:hAnsi="Arial" w:cs="Arial"/>
          <w:sz w:val="20"/>
          <w:szCs w:val="20"/>
        </w:rPr>
        <w:t xml:space="preserve"> и других федеральных станд</w:t>
      </w:r>
      <w:r>
        <w:rPr>
          <w:rFonts w:ascii="Arial" w:hAnsi="Arial" w:cs="Arial"/>
          <w:sz w:val="20"/>
          <w:szCs w:val="20"/>
        </w:rPr>
        <w:t>артов оценки, регулирующих оценку отдельных видов объектов оценки, утвержденных Минэкономразвития России, приоритет имеет настоящий Федеральный стандарт.</w: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  <w:r>
        <w:rPr>
          <w:noProof/>
        </w:rPr>
        <w:pict>
          <v:line id="_x0000_s1036" style="position:absolute;z-index:-251648000;mso-position-horizontal-relative:text;mso-position-vertical-relative:text" from="2pt,26.3pt" to="534.25pt,26.3pt" o:allowincell="f" strokeweight="1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.2pt,463.8pt" to="535.5pt,463.8pt" o:allowincell="f" strokeweight="1pt"/>
        </w:pict>
      </w: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5 из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71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D71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464" w:right="580" w:bottom="683" w:left="60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7E87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DC8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F5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141"/>
    <w:rsid w:val="00D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2782</ap:Words>
  <ap:Characters>15858</ap:Characters>
  <ap:Application>convertonlinefree.com</ap:Application>
  <ap:DocSecurity>4</ap:DocSecurity>
  <ap:Lines>132</ap:Lines>
  <ap:Paragraphs>37</ap:Paragraphs>
  <ap:ScaleCrop>false</ap:ScaleCrop>
  <ap:Company/>
  <ap:LinksUpToDate>false</ap:LinksUpToDate>
  <ap:CharactersWithSpaces>18603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2017-03-06T10:49:00Z</dcterms:created>
  <dcterms:modified xsi:type="dcterms:W3CDTF">2017-03-06T10:49:00Z</dcterms:modified>
</cp:coreProperties>
</file>