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июня 2015 г. N 328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"ОЦЕНКА СТОИМОСТИ МАШИН И ОБОРУДОВАНИЯ (ФСО N 10)"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  <w:proofErr w:type="gramEnd"/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оценки "Оценка стоимости машин и оборудования (ФСО N 10)".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приказ вступает в силу со дня вступления в силу приказов Минэкономразвития России от 20 мая 2015 г. </w:t>
      </w:r>
      <w:hyperlink r:id="rId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 "Об утверждении Федерального стандарта оценки "Общие понятия оценки, подходы и требования к проведению оценки (ФСО N 1)", от 20 мая 2015 г. </w:t>
      </w:r>
      <w:hyperlink r:id="rId8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 "Об утверждении Федерального стандарта оценки "Цель оценки и виды стоимости (ФСО N 2)", от 20 мая</w:t>
      </w:r>
      <w:proofErr w:type="gramEnd"/>
      <w:r>
        <w:rPr>
          <w:rFonts w:ascii="Calibri" w:hAnsi="Calibri" w:cs="Calibri"/>
        </w:rPr>
        <w:t xml:space="preserve"> 2015 г. </w:t>
      </w:r>
      <w:hyperlink r:id="rId9" w:history="1">
        <w:r>
          <w:rPr>
            <w:rFonts w:ascii="Calibri" w:hAnsi="Calibri" w:cs="Calibri"/>
            <w:color w:val="0000FF"/>
          </w:rPr>
          <w:t>N 299</w:t>
        </w:r>
      </w:hyperlink>
      <w:r>
        <w:rPr>
          <w:rFonts w:ascii="Calibri" w:hAnsi="Calibri" w:cs="Calibri"/>
        </w:rPr>
        <w:t xml:space="preserve"> "Об утверждении Федерального стандарта оценки "Требования к отчету об оценке (ФСО N 3)".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2015 г. N 328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4"/>
      <w:bookmarkEnd w:id="2"/>
      <w:r>
        <w:rPr>
          <w:rFonts w:ascii="Calibri" w:hAnsi="Calibri" w:cs="Calibri"/>
          <w:b/>
          <w:bCs/>
        </w:rPr>
        <w:t>ФЕДЕРАЛЬНЫЙ СТАНДАРТ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"ОЦЕНКА СТОИМОСТИ МАШИН И ОБОРУДОВАНИЯ (ФСО N 10)"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I. Общие положения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Федеральный стандарт оценки разработан с учетом международных стандартов оценки и федеральных стандартов оценки "Общие понятия оценки, подходы и требования к проведению оценки </w:t>
      </w:r>
      <w:hyperlink r:id="rId10" w:history="1">
        <w:r>
          <w:rPr>
            <w:rFonts w:ascii="Calibri" w:hAnsi="Calibri" w:cs="Calibri"/>
            <w:color w:val="0000FF"/>
          </w:rPr>
          <w:t>(ФСО N 1)</w:t>
        </w:r>
      </w:hyperlink>
      <w:r>
        <w:rPr>
          <w:rFonts w:ascii="Calibri" w:hAnsi="Calibri" w:cs="Calibri"/>
        </w:rPr>
        <w:t xml:space="preserve">", "Цель оценки и виды стоимости </w:t>
      </w:r>
      <w:hyperlink r:id="rId11" w:history="1">
        <w:r>
          <w:rPr>
            <w:rFonts w:ascii="Calibri" w:hAnsi="Calibri" w:cs="Calibri"/>
            <w:color w:val="0000FF"/>
          </w:rPr>
          <w:t>(ФСО N 2)</w:t>
        </w:r>
      </w:hyperlink>
      <w:r>
        <w:rPr>
          <w:rFonts w:ascii="Calibri" w:hAnsi="Calibri" w:cs="Calibri"/>
        </w:rPr>
        <w:t xml:space="preserve">", "Требования к отчету об оценке </w:t>
      </w:r>
      <w:hyperlink r:id="rId12" w:history="1">
        <w:r>
          <w:rPr>
            <w:rFonts w:ascii="Calibri" w:hAnsi="Calibri" w:cs="Calibri"/>
            <w:color w:val="0000FF"/>
          </w:rPr>
          <w:t>(ФСО N 3)</w:t>
        </w:r>
      </w:hyperlink>
      <w:r>
        <w:rPr>
          <w:rFonts w:ascii="Calibri" w:hAnsi="Calibri" w:cs="Calibri"/>
        </w:rPr>
        <w:t>" (далее соответственно - ФСО N 1, ФСО N 2, ФСО N 3), иных федеральных стандартов оценки, регулирующих оценку отдельных</w:t>
      </w:r>
      <w:proofErr w:type="gramEnd"/>
      <w:r>
        <w:rPr>
          <w:rFonts w:ascii="Calibri" w:hAnsi="Calibri" w:cs="Calibri"/>
        </w:rPr>
        <w:t xml:space="preserve"> видов объектов оценки, утвержденных Минэкономразвития России, определяет требования к проведению оценки стоимости машин и оборудования.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Если объектом оценки в задании на оценку не являются непосредственно машины и оборудование, но машины и оборудование являются частью объекта оценки, то действие настоящего Федерального стандарта оценки распространяется на процедуру оценки таких машин и оборудования только тогда, когда в задании на оценку предусматривается использование настоящего Федерального стандарта оценки с указанием перечня машин и оборудования, на который распространяются данные требования.</w:t>
      </w:r>
      <w:proofErr w:type="gramEnd"/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Положения настоящего Федерального стандарта оценки не распространяются на оценку </w:t>
      </w:r>
      <w:r>
        <w:rPr>
          <w:rFonts w:ascii="Calibri" w:hAnsi="Calibri" w:cs="Calibri"/>
        </w:rPr>
        <w:lastRenderedPageBreak/>
        <w:t>нематериальных активов, связанных с созданием и эксплуатацией машин и оборудования; машин и оборудования, имеющих художественную и (или) историческую ценность, а также работ и услуг по устранению повреждений, возникших в результате аварийных ситуаций (например, ущербов от аварий транспортных средств).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эксплуатация машин и оборудования невозможна без использования нематериальных активов (программных средств, специализированных баз данных, лицензий, технической документации и так далее), то в зависимости от задания на оценку стоимость нематериальных активов следует учитывать отдельно или в составе стоимости машин и оборудования.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II. Объекты оценки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целей настоящего Федерального стандарта оценки к объектам оценки относятся отдельные машины и единицы оборудования, являющиеся изделиями машиностроительного производства или аналогичными им, группы (множества, совокупности) машин и оборудования, части машин и оборудования вместе или по отдельности (далее - машины и оборудование).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стандарта оценки объектами оценки могут выступать подлежащие государственной регистрации воздушные и морские суда, суда внутреннего плавания, космические объекты.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III. Задание на оценку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Задание на оценку объекта оценки должно содержать следующую дополнительную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указанной в </w:t>
      </w:r>
      <w:hyperlink r:id="rId13" w:history="1">
        <w:r>
          <w:rPr>
            <w:rFonts w:ascii="Calibri" w:hAnsi="Calibri" w:cs="Calibri"/>
            <w:color w:val="0000FF"/>
          </w:rPr>
          <w:t>ФСО N 1</w:t>
        </w:r>
      </w:hyperlink>
      <w:r>
        <w:rPr>
          <w:rFonts w:ascii="Calibri" w:hAnsi="Calibri" w:cs="Calibri"/>
        </w:rPr>
        <w:t xml:space="preserve"> информацию об объекте оценки: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по учету нематериальных активов, необходимых для эксплуатации машин и оборудования (при наличии таких активов).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Задание на оценку объекта оценки может содержать следующую дополнительную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указанной в </w:t>
      </w:r>
      <w:hyperlink r:id="rId14" w:history="1">
        <w:r>
          <w:rPr>
            <w:rFonts w:ascii="Calibri" w:hAnsi="Calibri" w:cs="Calibri"/>
            <w:color w:val="0000FF"/>
          </w:rPr>
          <w:t>ФСО N 1</w:t>
        </w:r>
      </w:hyperlink>
      <w:r>
        <w:rPr>
          <w:rFonts w:ascii="Calibri" w:hAnsi="Calibri" w:cs="Calibri"/>
        </w:rPr>
        <w:t xml:space="preserve"> информацию в части допущений, на которых должна основываться оценка: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допущение, связанное с ограничением объема работ по осмотру оцениваемых машин и единиц оборудования;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допущение, связанное с ограничением объема работ по анализу рынка;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допущение об оценке машин и оборудования как единого целого при условии продолжения их использования в составе действующего имущественного комплекса;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допущение об оценке машин и оборудования как единого целого при условии прекращения их использования в составе действующего имущественного комплекса;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допущение об оценке машин и оборудования при условии перемещения с их текущего местоположения как отдельных объектов;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интегрированное машин и оборудования с другими объектами, в частности, недвижимости, - допущение об оценке машин и оборудования в составе таких объектов или отдельно от них.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Задание на оценку устанавливает степень детализации работ по осмотру (полный, частичный с указанием критериев, без проведения осмотра) и период проведения осмотра. В случае непроведения осмотра оценщик указывает в отчете об оценке причины, по которым объект оценки не осмотрен, а также допущения, связанные с непроведением осмотра.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обременений, если в задании на оценку не указано иное.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IV. Анализ рынка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оценки стоимости машин и оборудования оценщик исследует рынок в тех его сегментах, в которых может быть реализована наиболее значимая по стоимости часть </w:t>
      </w:r>
      <w:r>
        <w:rPr>
          <w:rFonts w:ascii="Calibri" w:hAnsi="Calibri" w:cs="Calibri"/>
        </w:rPr>
        <w:lastRenderedPageBreak/>
        <w:t>оцениваемых машин и единиц оборудования. Исследуются сегменты как первичного, так и вторичного рынка, если для объекта оценки эти виды рынка существуют.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V. Подходы к оценке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объекта оценки, представляющего собой множество машин и оборудования, могут быть использованы методы как индивидуальной, так и массовой оценки. 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моделей. В качестве итогового результата рассматривается стоимость объекта оценки как единого целого.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оценке машин и оборудования с применением затратного и сравнительного подходов допускается использование ценовой информации о событиях, произошедших с объектами-аналогами после даты оценки, например, путем обратной ценовой индексации. 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корректировки. Использование такой ценовой информации допустимо, если оценщиком проведен и раскрыт в отчете анализ полученных расчетных значений на соответствие рыночным показателям, сложившимся на дату оценки, а также оговорены допущения, связанные с применением указанной информации.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наличии развитого и активного рынка объектов-аналогов, позволяющего получить необходимый для оценки объем данных о ценах и характеристиках объектов-аналогов, может быть сделан вывод о достаточности применения только сравнительного подхода. Недостаток рыночной информации, необходимой для сравнительного подхода, является основанием для отказа от его использования.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применении затратного подхода к оценке машин и оборудования оценщик учитывает следующие положения: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оценке специализированных машин и оборудования целесообразно применять затратный подход. Специализированные машины и оборудование - 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затраты на воспроизводство машин и оборудования (без учета износа и устареваний) определяются на основе сравнения с затратами на создание или производство либо приобретение точной копии объекта оценки. </w:t>
      </w:r>
      <w:proofErr w:type="gramStart"/>
      <w:r>
        <w:rPr>
          <w:rFonts w:ascii="Calibri" w:hAnsi="Calibri" w:cs="Calibri"/>
        </w:rPr>
        <w:t>Затраты на замещение машин и оборудования (без учета износа и устареваний) определяются на основе сравнения с затратами на создание или производство либо приобретение объекта, имеющего аналогичные полезные свойства;</w:t>
      </w:r>
      <w:proofErr w:type="gramEnd"/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точной копией объекта оценки для целей оценки машин и оборудования признается объект, у которого совпадают с объектом оценки, как минимум, следующие признаки: наименование, обозначение модели (модификации), основные технические характеристики;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объектом, имеющим аналогичные полезные свойства, для целей оценки машин и оборудования признается объект, у которого имеется сходство с объектом оценки по функциональному назначению, принципу действия, конструктивной схеме;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применении затратного подхода рассчитывается накопленный совокупный износ оцениваемой машины или единицы оборудования, интегрирующий физический износ, функциональное и экономическое устаревания, при этом учитываются особенности обесценения при разных условиях эксплуатации, а также с учетом принятых допущений, на которых основывается оценка, максимально ориентируясь на рыночные данные.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применении доходного подхода к оценке машин и оборудования оценщик учитывает следующие положения: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доходный подход при оценке машин и оборудования может использоваться там, где распределенные во времени выгоды от его использования могут быть оценены в денежном выражении либо непосредственно, либо как соответствующая часть выгод, генерируемых более непосредственно, либо как соответствующая часть выгод, генерируемых более широким комплексом объектов, включающим оцениваемый объект и производящим продукт (товар, работу или услугу).</w:t>
      </w:r>
      <w:proofErr w:type="gramEnd"/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VI. Согласование результатов оценки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Согласование результатов оценки машин и оборудования, полученных с использованием различных методов и подходов к оценке, и отражение его результатов в отчете об оценке осуществляются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ФСО N 1</w:t>
        </w:r>
      </w:hyperlink>
      <w:r>
        <w:rPr>
          <w:rFonts w:ascii="Calibri" w:hAnsi="Calibri" w:cs="Calibri"/>
        </w:rPr>
        <w:t>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VII. Заключительные положения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расхождений между требованиями настоящего Федерального стандарта оценки с требованиями </w:t>
      </w:r>
      <w:hyperlink r:id="rId16" w:history="1">
        <w:r>
          <w:rPr>
            <w:rFonts w:ascii="Calibri" w:hAnsi="Calibri" w:cs="Calibri"/>
            <w:color w:val="0000FF"/>
          </w:rPr>
          <w:t>ФСО N 1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ФСО N 2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ФСО N 3</w:t>
        </w:r>
      </w:hyperlink>
      <w:r>
        <w:rPr>
          <w:rFonts w:ascii="Calibri" w:hAnsi="Calibri" w:cs="Calibri"/>
        </w:rPr>
        <w:t xml:space="preserve"> и других федеральных стандартов оценки, регулирующих оценку отдельных видов объектов оценки, утвержденных Минэкономразвития России, приоритет имеет настоящий Федеральный стандарт оценки.</w:t>
      </w: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48F" w:rsidRDefault="00A574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75C6" w:rsidRDefault="00A5748F">
      <w:bookmarkStart w:id="10" w:name="_GoBack"/>
      <w:bookmarkEnd w:id="10"/>
    </w:p>
    <w:sectPr w:rsidR="005475C6" w:rsidSect="001C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F"/>
    <w:rsid w:val="00A5748F"/>
    <w:rsid w:val="00A96EF7"/>
    <w:rsid w:val="00A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1706D68C04136505B94229F16AB744A4DEB56F126E1069E2E6C7DDQ5C4J" TargetMode="External"/><Relationship Id="rId13" Type="http://schemas.openxmlformats.org/officeDocument/2006/relationships/hyperlink" Target="consultantplus://offline/ref=1E911706D68C04136505B94229F16AB744A4DEB56F176E1069E2E6C7DD542FB2B1BE5D8410358069QAC9J" TargetMode="External"/><Relationship Id="rId18" Type="http://schemas.openxmlformats.org/officeDocument/2006/relationships/hyperlink" Target="consultantplus://offline/ref=1E911706D68C04136505B94229F16AB744A4DEB56C1A6E1069E2E6C7DD542FB2B1BE5D8410358069QAC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11706D68C04136505B94229F16AB744A4DEB56F176E1069E2E6C7DDQ5C4J" TargetMode="External"/><Relationship Id="rId12" Type="http://schemas.openxmlformats.org/officeDocument/2006/relationships/hyperlink" Target="consultantplus://offline/ref=1E911706D68C04136505B94229F16AB744A4DEB56C1A6E1069E2E6C7DD542FB2B1BE5D8410358069QAC9J" TargetMode="External"/><Relationship Id="rId17" Type="http://schemas.openxmlformats.org/officeDocument/2006/relationships/hyperlink" Target="consultantplus://offline/ref=1E911706D68C04136505B94229F16AB744A4DEB56F126E1069E2E6C7DD542FB2B1BE5D8410358069QAC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911706D68C04136505B94229F16AB744A4DEB56F176E1069E2E6C7DD542FB2B1BE5D8410358069QAC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11706D68C04136505B94229F16AB744A4DEBD6A146E1069E2E6C7DD542FB2B1BE5D8410358668QAC6J" TargetMode="External"/><Relationship Id="rId11" Type="http://schemas.openxmlformats.org/officeDocument/2006/relationships/hyperlink" Target="consultantplus://offline/ref=1E911706D68C04136505B94229F16AB744A4DEB56F126E1069E2E6C7DD542FB2B1BE5D8410358069QAC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911706D68C04136505B94229F16AB744A4DEB56F176E1069E2E6C7DD542FB2B1BE5D8410358069QAC9J" TargetMode="External"/><Relationship Id="rId10" Type="http://schemas.openxmlformats.org/officeDocument/2006/relationships/hyperlink" Target="consultantplus://offline/ref=1E911706D68C04136505B94229F16AB744A4DEB56F176E1069E2E6C7DD542FB2B1BE5D8410358069QAC9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11706D68C04136505B94229F16AB744A4DEB56C1A6E1069E2E6C7DDQ5C4J" TargetMode="External"/><Relationship Id="rId14" Type="http://schemas.openxmlformats.org/officeDocument/2006/relationships/hyperlink" Target="consultantplus://offline/ref=1E911706D68C04136505B94229F16AB744A4DEB56F176E1069E2E6C7DD542FB2B1BE5D8410358069QA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Kayukov Sergey A. </cp:lastModifiedBy>
  <cp:revision>1</cp:revision>
  <dcterms:created xsi:type="dcterms:W3CDTF">2015-06-23T09:02:00Z</dcterms:created>
  <dcterms:modified xsi:type="dcterms:W3CDTF">2015-06-23T09:02:00Z</dcterms:modified>
</cp:coreProperties>
</file>